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5" w:rsidRDefault="00CD38A5" w:rsidP="00CD38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3885" cy="687070"/>
            <wp:effectExtent l="19050" t="0" r="5715" b="0"/>
            <wp:wrapTight wrapText="bothSides">
              <wp:wrapPolygon edited="0">
                <wp:start x="8858" y="0"/>
                <wp:lineTo x="3407" y="2396"/>
                <wp:lineTo x="1363" y="7187"/>
                <wp:lineTo x="2726" y="9582"/>
                <wp:lineTo x="-681" y="16769"/>
                <wp:lineTo x="681" y="20961"/>
                <wp:lineTo x="1363" y="20961"/>
                <wp:lineTo x="19760" y="20961"/>
                <wp:lineTo x="20442" y="20961"/>
                <wp:lineTo x="21804" y="19763"/>
                <wp:lineTo x="21804" y="16170"/>
                <wp:lineTo x="19760" y="9582"/>
                <wp:lineTo x="21804" y="9582"/>
                <wp:lineTo x="20442" y="2994"/>
                <wp:lineTo x="12946" y="0"/>
                <wp:lineTo x="885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8A5" w:rsidRDefault="00CD38A5" w:rsidP="00CD38A5">
      <w:pPr>
        <w:jc w:val="right"/>
        <w:rPr>
          <w:b/>
          <w:sz w:val="28"/>
          <w:szCs w:val="28"/>
        </w:rPr>
      </w:pPr>
    </w:p>
    <w:p w:rsidR="00CD38A5" w:rsidRDefault="00CD38A5" w:rsidP="00CD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38A5" w:rsidRDefault="00CD38A5" w:rsidP="00CD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CD38A5" w:rsidRPr="00106133" w:rsidRDefault="00CD38A5" w:rsidP="00CD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ХОЛМ-ЖИРКОВСКОГО РАЙОНА </w:t>
      </w:r>
      <w:r w:rsidRPr="00106133">
        <w:rPr>
          <w:b/>
          <w:sz w:val="28"/>
          <w:szCs w:val="28"/>
        </w:rPr>
        <w:t>СМОЛЕНСКОЙ ОБЛАСТИ</w:t>
      </w:r>
    </w:p>
    <w:p w:rsidR="00CD38A5" w:rsidRDefault="00CD38A5" w:rsidP="00CD38A5">
      <w:pPr>
        <w:jc w:val="center"/>
        <w:rPr>
          <w:sz w:val="28"/>
          <w:szCs w:val="28"/>
        </w:rPr>
      </w:pPr>
    </w:p>
    <w:p w:rsidR="00CD38A5" w:rsidRPr="00A1781F" w:rsidRDefault="00CD38A5" w:rsidP="00CD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D38A5" w:rsidRDefault="00CD38A5" w:rsidP="00CD38A5">
      <w:pPr>
        <w:rPr>
          <w:sz w:val="28"/>
          <w:szCs w:val="28"/>
        </w:rPr>
      </w:pPr>
    </w:p>
    <w:p w:rsidR="00CD38A5" w:rsidRPr="0038354A" w:rsidRDefault="00CD38A5" w:rsidP="00CD38A5">
      <w:pPr>
        <w:rPr>
          <w:sz w:val="28"/>
          <w:szCs w:val="28"/>
        </w:rPr>
      </w:pPr>
      <w:r w:rsidRPr="003835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07.06.</w:t>
      </w:r>
      <w:r w:rsidRPr="0038354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8354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38354A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29/1</w:t>
      </w:r>
    </w:p>
    <w:p w:rsidR="00CD38A5" w:rsidRDefault="00CD38A5" w:rsidP="00CD38A5">
      <w:pPr>
        <w:rPr>
          <w:sz w:val="28"/>
          <w:szCs w:val="28"/>
        </w:rPr>
      </w:pPr>
    </w:p>
    <w:p w:rsidR="00CD38A5" w:rsidRPr="00C70EEA" w:rsidRDefault="00CD38A5" w:rsidP="00CD38A5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644"/>
      </w:tblGrid>
      <w:tr w:rsidR="00CD38A5" w:rsidRPr="002D11AC" w:rsidTr="00AE0D12">
        <w:trPr>
          <w:trHeight w:val="891"/>
        </w:trPr>
        <w:tc>
          <w:tcPr>
            <w:tcW w:w="4644" w:type="dxa"/>
          </w:tcPr>
          <w:p w:rsidR="00CD38A5" w:rsidRPr="002D11AC" w:rsidRDefault="00CD38A5" w:rsidP="00AE0D12">
            <w:pPr>
              <w:jc w:val="both"/>
              <w:rPr>
                <w:sz w:val="28"/>
                <w:szCs w:val="28"/>
              </w:rPr>
            </w:pPr>
            <w:r w:rsidRPr="002D11AC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2D11AC">
              <w:rPr>
                <w:sz w:val="28"/>
                <w:szCs w:val="28"/>
              </w:rPr>
              <w:t xml:space="preserve">лана устранения выявленных нарушений при проведении плановой камеральной проверки </w:t>
            </w:r>
            <w:r>
              <w:rPr>
                <w:sz w:val="28"/>
                <w:szCs w:val="28"/>
              </w:rPr>
              <w:t>по вопросам осуществления расходов бюджета публично-правового образования на реализацию мероприятий муниципальной программы «Комплексное развитие территории Богдановского сельского поселения Холм-Жирковского района Смоленской области»</w:t>
            </w:r>
          </w:p>
        </w:tc>
      </w:tr>
    </w:tbl>
    <w:p w:rsidR="00CD38A5" w:rsidRDefault="00CD38A5" w:rsidP="00CD38A5">
      <w:pPr>
        <w:jc w:val="both"/>
        <w:rPr>
          <w:sz w:val="28"/>
          <w:szCs w:val="28"/>
        </w:rPr>
      </w:pPr>
    </w:p>
    <w:p w:rsidR="00CD38A5" w:rsidRDefault="00CD38A5" w:rsidP="00CD38A5">
      <w:pPr>
        <w:jc w:val="both"/>
        <w:rPr>
          <w:sz w:val="28"/>
          <w:szCs w:val="28"/>
        </w:rPr>
      </w:pPr>
    </w:p>
    <w:p w:rsidR="00CD38A5" w:rsidRPr="002E4A88" w:rsidRDefault="00CD38A5" w:rsidP="00CD38A5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В соответствии с Уставом Богдановского сельского поселения Холм-Жирковского района Смоленской области, Учетной политикой Администрации Богдановского сельского поселения Холм-Жирковского района Смоленской области, утвержденной постановлением Администрации  Богдановского сельского поселения Холм-Жирковского района Смоленской области от 10.03.2021 № 13</w:t>
      </w:r>
    </w:p>
    <w:p w:rsidR="00CD38A5" w:rsidRDefault="00CD38A5" w:rsidP="00CD38A5">
      <w:pPr>
        <w:jc w:val="both"/>
        <w:rPr>
          <w:b/>
          <w:sz w:val="28"/>
          <w:szCs w:val="28"/>
        </w:rPr>
      </w:pPr>
    </w:p>
    <w:p w:rsidR="00CD38A5" w:rsidRDefault="00CD38A5" w:rsidP="00CD38A5">
      <w:pPr>
        <w:jc w:val="both"/>
        <w:rPr>
          <w:b/>
          <w:sz w:val="28"/>
          <w:szCs w:val="28"/>
        </w:rPr>
      </w:pPr>
    </w:p>
    <w:p w:rsidR="00CD38A5" w:rsidRDefault="00CD38A5" w:rsidP="00CD38A5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856ED0">
        <w:rPr>
          <w:sz w:val="28"/>
          <w:szCs w:val="28"/>
        </w:rPr>
        <w:t xml:space="preserve">Утвердить План устранения выявленных нарушений при проведении </w:t>
      </w:r>
      <w:r>
        <w:rPr>
          <w:sz w:val="28"/>
          <w:szCs w:val="28"/>
        </w:rPr>
        <w:t>плановой камеральной проверки по вопросам осуществления расходов бюджета публично-правового образования на реализацию мероприятий муниципальной программы «Комплексное развитие территории Богдановского сельского поселения Холм-Жирковского района Смоленской области» (прилагается).</w:t>
      </w:r>
    </w:p>
    <w:p w:rsidR="00CD38A5" w:rsidRPr="002E4A88" w:rsidRDefault="00CD38A5" w:rsidP="00CD38A5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2E4A88">
        <w:rPr>
          <w:sz w:val="28"/>
          <w:szCs w:val="28"/>
        </w:rPr>
        <w:t>Должностному лицу (</w:t>
      </w:r>
      <w:proofErr w:type="spellStart"/>
      <w:r w:rsidRPr="002E4A88">
        <w:rPr>
          <w:sz w:val="28"/>
          <w:szCs w:val="28"/>
        </w:rPr>
        <w:t>Шарыкина</w:t>
      </w:r>
      <w:proofErr w:type="spellEnd"/>
      <w:r w:rsidRPr="002E4A88">
        <w:rPr>
          <w:sz w:val="28"/>
          <w:szCs w:val="28"/>
        </w:rPr>
        <w:t xml:space="preserve"> Е.П.) в срок до 11.06.2021 направить в Финансовое управление Администрации муниципального образования «Холм-Жирковский район» Смоленской области документы,  подтверждающие устранение нарушений.</w:t>
      </w:r>
      <w:r w:rsidRPr="002E4A88">
        <w:rPr>
          <w:sz w:val="28"/>
          <w:szCs w:val="28"/>
        </w:rPr>
        <w:br/>
      </w:r>
      <w:r w:rsidRPr="002E4A88">
        <w:rPr>
          <w:sz w:val="28"/>
        </w:rPr>
        <w:t xml:space="preserve">       3. </w:t>
      </w:r>
      <w:proofErr w:type="gramStart"/>
      <w:r w:rsidRPr="002E4A88">
        <w:rPr>
          <w:sz w:val="28"/>
          <w:szCs w:val="28"/>
        </w:rPr>
        <w:t>Разместить</w:t>
      </w:r>
      <w:proofErr w:type="gramEnd"/>
      <w:r w:rsidRPr="002E4A88">
        <w:rPr>
          <w:sz w:val="28"/>
          <w:szCs w:val="28"/>
        </w:rPr>
        <w:t xml:space="preserve"> настоящее распоряжение на официальном сайте Администрации </w:t>
      </w:r>
      <w:bookmarkStart w:id="0" w:name="OLE_LINK19"/>
      <w:bookmarkStart w:id="1" w:name="OLE_LINK20"/>
      <w:bookmarkStart w:id="2" w:name="OLE_LINK32"/>
      <w:r>
        <w:rPr>
          <w:sz w:val="28"/>
          <w:szCs w:val="28"/>
        </w:rPr>
        <w:t>Богдановского</w:t>
      </w:r>
      <w:r w:rsidRPr="002E4A88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bookmarkEnd w:id="0"/>
    <w:bookmarkEnd w:id="1"/>
    <w:bookmarkEnd w:id="2"/>
    <w:p w:rsidR="00CD38A5" w:rsidRDefault="00CD38A5" w:rsidP="00CD38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9131A">
        <w:rPr>
          <w:sz w:val="28"/>
          <w:szCs w:val="28"/>
        </w:rPr>
        <w:t xml:space="preserve">4. </w:t>
      </w:r>
      <w:proofErr w:type="gramStart"/>
      <w:r w:rsidRPr="0069131A">
        <w:rPr>
          <w:sz w:val="28"/>
          <w:szCs w:val="28"/>
        </w:rPr>
        <w:t>Контроль за</w:t>
      </w:r>
      <w:proofErr w:type="gramEnd"/>
      <w:r w:rsidRPr="0069131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 оставляю за собой.</w:t>
      </w:r>
      <w:r w:rsidRPr="0069131A">
        <w:rPr>
          <w:sz w:val="28"/>
          <w:szCs w:val="28"/>
        </w:rPr>
        <w:t xml:space="preserve"> </w:t>
      </w:r>
      <w:bookmarkStart w:id="3" w:name="OLE_LINK21"/>
      <w:bookmarkStart w:id="4" w:name="OLE_LINK22"/>
      <w:bookmarkStart w:id="5" w:name="OLE_LINK23"/>
      <w:bookmarkStart w:id="6" w:name="OLE_LINK24"/>
      <w:r>
        <w:rPr>
          <w:sz w:val="28"/>
          <w:szCs w:val="28"/>
        </w:rPr>
        <w:t xml:space="preserve"> </w:t>
      </w:r>
    </w:p>
    <w:bookmarkEnd w:id="3"/>
    <w:bookmarkEnd w:id="4"/>
    <w:bookmarkEnd w:id="5"/>
    <w:bookmarkEnd w:id="6"/>
    <w:p w:rsidR="00CD38A5" w:rsidRDefault="00CD38A5" w:rsidP="00CD38A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8A5" w:rsidRDefault="00CD38A5" w:rsidP="00CD38A5">
      <w:pPr>
        <w:jc w:val="both"/>
        <w:rPr>
          <w:sz w:val="28"/>
          <w:szCs w:val="28"/>
        </w:rPr>
      </w:pPr>
    </w:p>
    <w:p w:rsidR="00CD38A5" w:rsidRDefault="00CD38A5" w:rsidP="00CD38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38A5" w:rsidRDefault="00CD38A5" w:rsidP="00CD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Богдановского сельского поселения </w:t>
      </w:r>
    </w:p>
    <w:p w:rsidR="00CD38A5" w:rsidRDefault="00CD38A5" w:rsidP="00CD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CD38A5" w:rsidRDefault="00CD38A5" w:rsidP="00CD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</w:p>
    <w:p w:rsidR="00CD38A5" w:rsidRDefault="00CD38A5" w:rsidP="00CD38A5">
      <w:pPr>
        <w:jc w:val="both"/>
        <w:rPr>
          <w:sz w:val="28"/>
          <w:szCs w:val="28"/>
        </w:rPr>
      </w:pPr>
    </w:p>
    <w:p w:rsidR="00CD38A5" w:rsidRDefault="00CD38A5" w:rsidP="00CD38A5">
      <w:pPr>
        <w:jc w:val="both"/>
        <w:rPr>
          <w:sz w:val="28"/>
          <w:szCs w:val="28"/>
        </w:rPr>
      </w:pPr>
    </w:p>
    <w:p w:rsidR="00CD38A5" w:rsidRDefault="00CD38A5" w:rsidP="00CD38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CD38A5" w:rsidRDefault="00CD38A5" w:rsidP="00CD38A5">
      <w:pPr>
        <w:jc w:val="right"/>
      </w:pPr>
      <w:r w:rsidRPr="003C7FE6">
        <w:lastRenderedPageBreak/>
        <w:t>Приложение</w:t>
      </w:r>
      <w:r w:rsidRPr="003C7FE6">
        <w:br/>
        <w:t>к распоряжению</w:t>
      </w:r>
      <w:r>
        <w:t xml:space="preserve"> Администрации </w:t>
      </w:r>
      <w:r w:rsidRPr="003C7FE6">
        <w:br/>
      </w:r>
      <w:r>
        <w:t xml:space="preserve">Богдановского сельского поселения </w:t>
      </w:r>
    </w:p>
    <w:p w:rsidR="00CD38A5" w:rsidRDefault="00CD38A5" w:rsidP="00CD38A5">
      <w:pPr>
        <w:jc w:val="right"/>
      </w:pPr>
      <w:r>
        <w:t xml:space="preserve">Холм-Жирковского района </w:t>
      </w:r>
    </w:p>
    <w:p w:rsidR="00CD38A5" w:rsidRPr="003C7FE6" w:rsidRDefault="00CD38A5" w:rsidP="00CD38A5">
      <w:pPr>
        <w:jc w:val="right"/>
      </w:pPr>
      <w:r>
        <w:t xml:space="preserve">Смоленской области </w:t>
      </w:r>
      <w:r w:rsidRPr="003C7FE6">
        <w:br/>
        <w:t>от</w:t>
      </w:r>
      <w:r>
        <w:t xml:space="preserve"> 07.06.2021 </w:t>
      </w:r>
      <w:r w:rsidRPr="003C7FE6">
        <w:t xml:space="preserve"> N </w:t>
      </w:r>
      <w:r>
        <w:t>29/1</w:t>
      </w:r>
    </w:p>
    <w:p w:rsidR="00CD38A5" w:rsidRDefault="00CD38A5" w:rsidP="00CD38A5">
      <w:pPr>
        <w:jc w:val="center"/>
      </w:pPr>
      <w:r w:rsidRPr="003C7FE6">
        <w:t xml:space="preserve">ПЛАН </w:t>
      </w:r>
      <w:r>
        <w:t xml:space="preserve">  </w:t>
      </w:r>
    </w:p>
    <w:p w:rsidR="00CD38A5" w:rsidRPr="003C7FE6" w:rsidRDefault="00CD38A5" w:rsidP="00CD38A5">
      <w:pPr>
        <w:jc w:val="both"/>
      </w:pPr>
      <w:r w:rsidRPr="003C7FE6">
        <w:t xml:space="preserve"> </w:t>
      </w:r>
      <w:r w:rsidRPr="00856ED0">
        <w:rPr>
          <w:sz w:val="28"/>
          <w:szCs w:val="28"/>
        </w:rPr>
        <w:t xml:space="preserve">устранения выявленных нарушений при проведении </w:t>
      </w:r>
      <w:r>
        <w:rPr>
          <w:sz w:val="28"/>
          <w:szCs w:val="28"/>
        </w:rPr>
        <w:t>плановой камеральной проверки по вопросам осуществления расходов бюджета публично-правового образования на реализацию мероприятий муниципальной программы «Комплексное развитие территории Богдановского сельского поселения Холм-Жирковского района Смоленской области» (акт проверки от 11.05</w:t>
      </w:r>
      <w:r w:rsidRPr="000F62C4">
        <w:rPr>
          <w:sz w:val="28"/>
          <w:szCs w:val="28"/>
        </w:rPr>
        <w:t>.2021 №</w:t>
      </w:r>
      <w:r>
        <w:t xml:space="preserve"> 04)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286"/>
        <w:gridCol w:w="2872"/>
        <w:gridCol w:w="2201"/>
      </w:tblGrid>
      <w:tr w:rsidR="00CD38A5" w:rsidRPr="003C7FE6" w:rsidTr="00BA390C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CD38A5" w:rsidRPr="003C7FE6" w:rsidRDefault="00CD38A5" w:rsidP="00AE0D12">
            <w:pPr>
              <w:rPr>
                <w:sz w:val="2"/>
              </w:rPr>
            </w:pPr>
          </w:p>
        </w:tc>
        <w:tc>
          <w:tcPr>
            <w:tcW w:w="4256" w:type="dxa"/>
            <w:vAlign w:val="center"/>
            <w:hideMark/>
          </w:tcPr>
          <w:p w:rsidR="00CD38A5" w:rsidRPr="003C7FE6" w:rsidRDefault="00CD38A5" w:rsidP="00AE0D12">
            <w:pPr>
              <w:rPr>
                <w:sz w:val="2"/>
              </w:rPr>
            </w:pPr>
          </w:p>
        </w:tc>
        <w:tc>
          <w:tcPr>
            <w:tcW w:w="2842" w:type="dxa"/>
            <w:vAlign w:val="center"/>
            <w:hideMark/>
          </w:tcPr>
          <w:p w:rsidR="00CD38A5" w:rsidRPr="003C7FE6" w:rsidRDefault="00CD38A5" w:rsidP="00AE0D12">
            <w:pPr>
              <w:rPr>
                <w:sz w:val="2"/>
              </w:rPr>
            </w:pPr>
          </w:p>
        </w:tc>
        <w:tc>
          <w:tcPr>
            <w:tcW w:w="2156" w:type="dxa"/>
            <w:vAlign w:val="center"/>
            <w:hideMark/>
          </w:tcPr>
          <w:p w:rsidR="00CD38A5" w:rsidRPr="003C7FE6" w:rsidRDefault="00CD38A5" w:rsidP="00AE0D12">
            <w:pPr>
              <w:rPr>
                <w:sz w:val="2"/>
              </w:rPr>
            </w:pP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E4A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4AD7">
              <w:rPr>
                <w:sz w:val="28"/>
                <w:szCs w:val="28"/>
              </w:rPr>
              <w:t>/</w:t>
            </w:r>
            <w:proofErr w:type="spellStart"/>
            <w:r w:rsidRPr="005E4AD7">
              <w:rPr>
                <w:sz w:val="28"/>
                <w:szCs w:val="28"/>
              </w:rPr>
              <w:t>п</w:t>
            </w:r>
            <w:proofErr w:type="spellEnd"/>
            <w:r w:rsidRPr="005E4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Описание выявленного нарушения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Способ устранения выявленного нарушения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Сроки устранения выявленного нарушения 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4 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E4AD7">
              <w:rPr>
                <w:b/>
                <w:sz w:val="28"/>
                <w:szCs w:val="28"/>
              </w:rPr>
              <w:t xml:space="preserve">В нарушение требований </w:t>
            </w:r>
            <w:r>
              <w:rPr>
                <w:b/>
                <w:sz w:val="28"/>
                <w:szCs w:val="28"/>
              </w:rPr>
              <w:t xml:space="preserve">пункта 6 статьи 1 №218-ФЗ от 13.07.2015, статьи 131 ГК РФ </w:t>
            </w:r>
            <w:r w:rsidRPr="002E4A88">
              <w:rPr>
                <w:sz w:val="28"/>
                <w:szCs w:val="28"/>
              </w:rPr>
              <w:t>не зарегистрировано право на недвижимое имущество</w:t>
            </w:r>
            <w:r w:rsidRPr="005E4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Руководствоваться требованиями </w:t>
            </w:r>
            <w:r w:rsidRPr="002E4A88">
              <w:rPr>
                <w:sz w:val="28"/>
                <w:szCs w:val="28"/>
              </w:rPr>
              <w:t>пункта 6 статьи 1 №218-ФЗ от 13.07.2015, статьи 131 ГК РФ</w:t>
            </w:r>
            <w:r>
              <w:rPr>
                <w:sz w:val="28"/>
                <w:szCs w:val="28"/>
              </w:rPr>
              <w:t>,</w:t>
            </w:r>
            <w:r w:rsidRPr="002E4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зарегистрировать </w:t>
            </w:r>
            <w:r w:rsidRPr="002E4A88">
              <w:rPr>
                <w:sz w:val="28"/>
                <w:szCs w:val="28"/>
              </w:rPr>
              <w:t>право на недвижимое имущество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конца 2021 года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5B0C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450F3C">
              <w:rPr>
                <w:b/>
                <w:sz w:val="28"/>
                <w:szCs w:val="28"/>
              </w:rPr>
              <w:t xml:space="preserve"> нарушение требований </w:t>
            </w:r>
            <w:r w:rsidR="005B0C39">
              <w:rPr>
                <w:b/>
                <w:sz w:val="28"/>
                <w:szCs w:val="28"/>
              </w:rPr>
              <w:t>письма Минфина России от 09.07.2008 № 03-03-06/1/399, от 27.03.2006 № 03-03-04/1/288</w:t>
            </w:r>
            <w:r>
              <w:rPr>
                <w:sz w:val="28"/>
                <w:szCs w:val="28"/>
              </w:rPr>
              <w:t xml:space="preserve"> </w:t>
            </w:r>
            <w:r w:rsidRPr="005E4AD7">
              <w:rPr>
                <w:sz w:val="28"/>
                <w:szCs w:val="28"/>
              </w:rPr>
              <w:t xml:space="preserve"> </w:t>
            </w:r>
            <w:r w:rsidR="001A7E05" w:rsidRPr="001A7E05">
              <w:rPr>
                <w:rStyle w:val="FontStyle37"/>
                <w:bCs/>
                <w:sz w:val="28"/>
                <w:szCs w:val="28"/>
              </w:rPr>
              <w:t>и</w:t>
            </w:r>
            <w:r w:rsidR="005B0C39" w:rsidRPr="001A7E05">
              <w:rPr>
                <w:rStyle w:val="FontStyle37"/>
                <w:bCs/>
                <w:sz w:val="28"/>
                <w:szCs w:val="28"/>
              </w:rPr>
              <w:t>меет место заключение договора аренды с арендатором на передачу ему во временное пользование нежилого здания  при отсутствии свидетельства о регистрации права собственности на данный объект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1A7E05" w:rsidRDefault="00CD38A5" w:rsidP="00AE0D1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A7E05">
              <w:rPr>
                <w:sz w:val="28"/>
                <w:szCs w:val="28"/>
              </w:rPr>
              <w:t xml:space="preserve">Руководствоваться </w:t>
            </w:r>
            <w:r w:rsidR="001A7E05" w:rsidRPr="001A7E05">
              <w:rPr>
                <w:sz w:val="28"/>
                <w:szCs w:val="28"/>
              </w:rPr>
              <w:t>письмом Минфина России от 09.07.2008 № 03-03-06/1/399, от 27.03.2006 № 03-03-04/1/288  исключить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1F28C1" w:rsidRDefault="001A7E05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регистрации права собственности</w:t>
            </w:r>
            <w:r w:rsidR="00CD38A5" w:rsidRPr="001F28C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7E05" w:rsidRPr="001A7E05" w:rsidRDefault="00CD38A5" w:rsidP="001A7E0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1F28C1">
              <w:rPr>
                <w:b/>
                <w:sz w:val="28"/>
                <w:szCs w:val="28"/>
              </w:rPr>
              <w:t xml:space="preserve">В нарушение требований </w:t>
            </w:r>
            <w:r w:rsidR="001A7E05">
              <w:rPr>
                <w:b/>
                <w:sz w:val="28"/>
                <w:szCs w:val="28"/>
              </w:rPr>
              <w:t xml:space="preserve">абз.10 раздела «Основные средства» Учетной политики </w:t>
            </w:r>
            <w:r w:rsidR="001A7E05">
              <w:rPr>
                <w:sz w:val="28"/>
                <w:szCs w:val="28"/>
              </w:rPr>
              <w:t xml:space="preserve">неверно </w:t>
            </w:r>
            <w:r w:rsidR="001A7E05" w:rsidRPr="001A7E05">
              <w:rPr>
                <w:sz w:val="28"/>
                <w:szCs w:val="28"/>
              </w:rPr>
              <w:t>формируются инвентарные номера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1A7E0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инвентарные номера в соответствии с требованиями Учетной политики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1F28C1" w:rsidRDefault="00CD38A5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F28C1">
              <w:rPr>
                <w:b/>
                <w:sz w:val="28"/>
                <w:szCs w:val="28"/>
              </w:rPr>
              <w:t xml:space="preserve">Постоянно 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1A7E0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 </w:t>
            </w:r>
            <w:r w:rsidR="001A7E05">
              <w:rPr>
                <w:b/>
                <w:sz w:val="28"/>
                <w:szCs w:val="28"/>
              </w:rPr>
              <w:t>пункта 373 Инструкции № 157н от 01.12.2010</w:t>
            </w:r>
            <w:r w:rsidRPr="005E4AD7">
              <w:rPr>
                <w:sz w:val="28"/>
                <w:szCs w:val="28"/>
              </w:rPr>
              <w:t xml:space="preserve"> </w:t>
            </w:r>
            <w:r w:rsidR="001A7E05">
              <w:rPr>
                <w:sz w:val="28"/>
                <w:szCs w:val="28"/>
              </w:rPr>
              <w:t>имеет место начисление амортизации на основные средства, стоимостью до                10 000 рублей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1A7E05" w:rsidP="00AE0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E05">
              <w:rPr>
                <w:sz w:val="28"/>
                <w:szCs w:val="28"/>
              </w:rPr>
              <w:t>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1F28C1" w:rsidRDefault="00CD38A5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F28C1">
              <w:rPr>
                <w:b/>
                <w:sz w:val="28"/>
                <w:szCs w:val="28"/>
              </w:rPr>
              <w:t xml:space="preserve">Постоянно 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E4AD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BA390C" w:rsidRDefault="00CD38A5" w:rsidP="00BA390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нарушение требований </w:t>
            </w:r>
            <w:r w:rsidR="00BA390C"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>Пункта 118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157н от 01.12.2010,  </w:t>
            </w:r>
            <w:r w:rsidR="00BA390C" w:rsidRPr="00BA390C">
              <w:rPr>
                <w:rFonts w:ascii="Times New Roman" w:hAnsi="Times New Roman" w:cs="Times New Roman"/>
              </w:rPr>
              <w:t xml:space="preserve">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BA390C" w:rsidRPr="00BA390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пункт 11.4</w:t>
              </w:r>
            </w:hyperlink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Инструкции                   N 209н от 29.11.2017, статья 9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402-ФЗ Остатки по твердому топливу (дрова) учтены на счете 1 105 36 000, подлежат отражению на счете </w:t>
            </w:r>
            <w:hyperlink r:id="rId8" w:history="1">
              <w:r w:rsidR="00BA390C" w:rsidRPr="00BA390C">
                <w:rPr>
                  <w:rFonts w:ascii="Times New Roman" w:hAnsi="Times New Roman" w:cs="Times New Roman"/>
                  <w:sz w:val="28"/>
                  <w:szCs w:val="28"/>
                </w:rPr>
                <w:t>1 105 33 000</w:t>
              </w:r>
            </w:hyperlink>
            <w:r w:rsidR="00BA390C" w:rsidRPr="00BA390C">
              <w:rPr>
                <w:rFonts w:ascii="Times New Roman" w:hAnsi="Times New Roman" w:cs="Times New Roman"/>
              </w:rPr>
              <w:t xml:space="preserve">.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>Списание твердого топлива (дров)</w:t>
            </w:r>
            <w:r w:rsidR="00BA390C"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>производится не</w:t>
            </w:r>
            <w:r w:rsidR="00BA390C"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A390C"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>фактическому расходу   в течение отопительного сезона, а</w:t>
            </w:r>
            <w:r w:rsidR="00BA390C" w:rsidRPr="00BA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>единожды в конце года.</w:t>
            </w:r>
            <w:proofErr w:type="gramEnd"/>
            <w:r w:rsidR="00BA390C" w:rsidRPr="00BA390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локальный акт на предмет утверждения норм списания дров в Учреждении отсутствует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BA390C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Перенести остатки на счет 1 105 33 000 «"Горюче смазочные </w:t>
            </w:r>
            <w:r w:rsidRPr="00FC5F2F">
              <w:rPr>
                <w:sz w:val="28"/>
                <w:szCs w:val="28"/>
              </w:rPr>
              <w:t>материалы - иное</w:t>
            </w:r>
            <w:r>
              <w:rPr>
                <w:sz w:val="28"/>
                <w:szCs w:val="28"/>
              </w:rPr>
              <w:t xml:space="preserve"> движимое имущество учреждения". Утвердить нормы списания твердого топлива.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0F62C4" w:rsidRDefault="00BA390C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11.06.2021</w:t>
            </w:r>
          </w:p>
        </w:tc>
      </w:tr>
      <w:tr w:rsidR="00CD38A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Default="00BA390C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D38A5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38A5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D38A5" w:rsidRPr="005E4AD7" w:rsidRDefault="00CD38A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390C" w:rsidRPr="00BA390C" w:rsidRDefault="00BA390C" w:rsidP="00AE0D1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</w:t>
            </w:r>
            <w:r>
              <w:rPr>
                <w:sz w:val="28"/>
                <w:szCs w:val="28"/>
              </w:rPr>
              <w:t xml:space="preserve"> Постановления Госкомстата РФ от 28.11.1997 №78, Приказ Минтранса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152 от 18.09.2008 Путевые листы оформляются с грубейшими нарушениями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5E4AD7" w:rsidRDefault="00BA390C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E05">
              <w:rPr>
                <w:sz w:val="28"/>
                <w:szCs w:val="28"/>
              </w:rPr>
              <w:t>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8A5" w:rsidRPr="000F62C4" w:rsidRDefault="00BA390C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</w:tr>
      <w:tr w:rsidR="00BA390C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390C" w:rsidRDefault="00BA390C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A390C" w:rsidRDefault="00BA390C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390C" w:rsidRDefault="00BA390C" w:rsidP="00AE0D1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</w:t>
            </w:r>
            <w:r>
              <w:rPr>
                <w:sz w:val="28"/>
                <w:szCs w:val="28"/>
              </w:rPr>
              <w:t xml:space="preserve"> статьи 20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196-ФЗ от 10.12.1995, письма Минздрава РФ и Минтранса РФ от 21.08.2013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2510/9468-03-32 не организовано проведение </w:t>
            </w:r>
            <w:proofErr w:type="spellStart"/>
            <w:r>
              <w:rPr>
                <w:sz w:val="28"/>
                <w:szCs w:val="28"/>
              </w:rPr>
              <w:t>предрейсовых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послерейсовых</w:t>
            </w:r>
            <w:proofErr w:type="spellEnd"/>
            <w:r>
              <w:rPr>
                <w:sz w:val="28"/>
                <w:szCs w:val="28"/>
              </w:rPr>
              <w:t xml:space="preserve"> медицинских осмотров водителя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390C" w:rsidRPr="005E4AD7" w:rsidRDefault="00BA390C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Исключить практику данного нарушения. Заключить с медицинским учреждением договор на проведение </w:t>
            </w:r>
            <w:proofErr w:type="spellStart"/>
            <w:r>
              <w:rPr>
                <w:sz w:val="28"/>
                <w:szCs w:val="28"/>
              </w:rPr>
              <w:t>предрейсовых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послерейсовых</w:t>
            </w:r>
            <w:proofErr w:type="spellEnd"/>
            <w:r>
              <w:rPr>
                <w:sz w:val="28"/>
                <w:szCs w:val="28"/>
              </w:rPr>
              <w:t xml:space="preserve"> медицинских осмотров водителя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390C" w:rsidRPr="000F62C4" w:rsidRDefault="00BA390C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11.06.2021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</w:t>
            </w:r>
            <w:r>
              <w:rPr>
                <w:sz w:val="28"/>
                <w:szCs w:val="28"/>
              </w:rPr>
              <w:t xml:space="preserve"> Пункта 1 статьи 9 </w:t>
            </w:r>
            <w:r>
              <w:rPr>
                <w:sz w:val="28"/>
                <w:szCs w:val="28"/>
                <w:lang w:val="en-US"/>
              </w:rPr>
              <w:t>N</w:t>
            </w:r>
            <w:r w:rsidRPr="008A3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402-ФЗ от 06.12.2011 </w:t>
            </w:r>
            <w:r>
              <w:rPr>
                <w:bCs/>
                <w:sz w:val="28"/>
                <w:szCs w:val="28"/>
              </w:rPr>
              <w:t>д</w:t>
            </w:r>
            <w:r w:rsidRPr="00BA3AAF">
              <w:rPr>
                <w:bCs/>
                <w:sz w:val="28"/>
                <w:szCs w:val="28"/>
              </w:rPr>
              <w:t xml:space="preserve">окумент, </w:t>
            </w:r>
            <w:r w:rsidRPr="00063404">
              <w:rPr>
                <w:bCs/>
                <w:sz w:val="28"/>
                <w:szCs w:val="28"/>
              </w:rPr>
              <w:t>обосновывающий необходимость проведения ремонта автотранспортных средств – дефектная ведомость – не составляется.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3AAF">
              <w:rPr>
                <w:sz w:val="28"/>
                <w:szCs w:val="28"/>
              </w:rPr>
              <w:t>Акт выполненных работ на установку запасных частей</w:t>
            </w:r>
            <w:r>
              <w:rPr>
                <w:sz w:val="28"/>
                <w:szCs w:val="28"/>
              </w:rPr>
              <w:t xml:space="preserve"> </w:t>
            </w:r>
            <w:r w:rsidRPr="00BA3AAF">
              <w:rPr>
                <w:sz w:val="28"/>
                <w:szCs w:val="28"/>
              </w:rPr>
              <w:t>с указанием автомобиля, на которы</w:t>
            </w:r>
            <w:r>
              <w:rPr>
                <w:sz w:val="28"/>
                <w:szCs w:val="28"/>
              </w:rPr>
              <w:t>й</w:t>
            </w:r>
            <w:r w:rsidRPr="00BA3AAF">
              <w:rPr>
                <w:sz w:val="28"/>
                <w:szCs w:val="28"/>
              </w:rPr>
              <w:t xml:space="preserve"> они установлены</w:t>
            </w:r>
            <w:r w:rsidRPr="00DA0278">
              <w:rPr>
                <w:b/>
                <w:sz w:val="28"/>
                <w:szCs w:val="28"/>
              </w:rPr>
              <w:t xml:space="preserve">, </w:t>
            </w:r>
            <w:r w:rsidRPr="00063404">
              <w:rPr>
                <w:sz w:val="28"/>
                <w:szCs w:val="28"/>
              </w:rPr>
              <w:t>не составляется</w:t>
            </w:r>
            <w:r w:rsidRPr="00912D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A3AAF">
              <w:rPr>
                <w:sz w:val="28"/>
                <w:szCs w:val="28"/>
              </w:rPr>
              <w:t>Ведомость выдачи материальных ценностей на нужды учреждения</w:t>
            </w:r>
            <w:r w:rsidRPr="009E7F73">
              <w:rPr>
                <w:b/>
                <w:sz w:val="28"/>
                <w:szCs w:val="28"/>
              </w:rPr>
              <w:t xml:space="preserve"> </w:t>
            </w:r>
            <w:r w:rsidRPr="00063404">
              <w:rPr>
                <w:sz w:val="28"/>
                <w:szCs w:val="28"/>
              </w:rPr>
              <w:t>(форма 0504210) отсутствует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3411F5" w:rsidP="00F95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E05">
              <w:rPr>
                <w:sz w:val="28"/>
                <w:szCs w:val="28"/>
              </w:rPr>
              <w:t>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0F62C4" w:rsidRDefault="003411F5" w:rsidP="00AE0D1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</w:t>
            </w:r>
            <w:r>
              <w:rPr>
                <w:sz w:val="28"/>
                <w:szCs w:val="28"/>
              </w:rPr>
              <w:t xml:space="preserve"> статьи 9 </w:t>
            </w:r>
            <w:r>
              <w:rPr>
                <w:sz w:val="28"/>
                <w:szCs w:val="28"/>
                <w:lang w:val="en-US"/>
              </w:rPr>
              <w:t>N</w:t>
            </w:r>
            <w:r w:rsidRPr="00955B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402-ФЗ от 06.12.2011 оплата расходов </w:t>
            </w:r>
            <w:r w:rsidRPr="001C225D">
              <w:rPr>
                <w:sz w:val="28"/>
                <w:szCs w:val="28"/>
              </w:rPr>
              <w:t>по содержанию объектов «Дорожного фонда» осуществляется</w:t>
            </w:r>
            <w:r>
              <w:rPr>
                <w:sz w:val="28"/>
                <w:szCs w:val="28"/>
              </w:rPr>
              <w:t xml:space="preserve"> неправомерно и безосновательно</w:t>
            </w:r>
            <w:r w:rsidRPr="001C225D">
              <w:rPr>
                <w:sz w:val="28"/>
                <w:szCs w:val="28"/>
              </w:rPr>
              <w:t xml:space="preserve">  (путевой лист работы спецтехники отсутствует, калькуляция 1 часа работы спецтехники отсутствует)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3411F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E05">
              <w:rPr>
                <w:sz w:val="28"/>
                <w:szCs w:val="28"/>
              </w:rPr>
              <w:t>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3E32DA">
              <w:rPr>
                <w:b/>
                <w:sz w:val="28"/>
                <w:szCs w:val="28"/>
              </w:rPr>
              <w:t>Постоянно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3411F5" w:rsidRDefault="003411F5" w:rsidP="00F95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5">
              <w:rPr>
                <w:rFonts w:ascii="Times New Roman" w:hAnsi="Times New Roman" w:cs="Times New Roman"/>
                <w:b/>
                <w:sz w:val="28"/>
                <w:szCs w:val="28"/>
              </w:rPr>
              <w:t>В нарушение требований</w:t>
            </w:r>
          </w:p>
          <w:p w:rsidR="003411F5" w:rsidRPr="003411F5" w:rsidRDefault="003411F5" w:rsidP="00F95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5">
              <w:rPr>
                <w:rFonts w:ascii="Times New Roman" w:hAnsi="Times New Roman" w:cs="Times New Roman"/>
                <w:sz w:val="28"/>
                <w:szCs w:val="28"/>
              </w:rPr>
              <w:t>абзаца 9 статьи 136 Трудового кодекса Российской Федерации</w:t>
            </w:r>
            <w:r w:rsidRPr="000E6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6D0C">
              <w:rPr>
                <w:rFonts w:ascii="Times New Roman" w:hAnsi="Times New Roman" w:cs="Times New Roman"/>
                <w:bCs/>
                <w:sz w:val="28"/>
                <w:szCs w:val="28"/>
              </w:rPr>
              <w:t>тпускные перечисляются на банковские карты сотрудников несвоевременно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3411F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7E05">
              <w:rPr>
                <w:sz w:val="28"/>
                <w:szCs w:val="28"/>
              </w:rPr>
              <w:t>сключить практику данного нарушения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3E32DA">
              <w:rPr>
                <w:b/>
                <w:sz w:val="28"/>
                <w:szCs w:val="28"/>
              </w:rPr>
              <w:t>Постоянно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3C13">
              <w:rPr>
                <w:sz w:val="28"/>
                <w:szCs w:val="28"/>
              </w:rPr>
              <w:t>1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E767FB" w:rsidRDefault="003411F5" w:rsidP="00E767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594EE8">
              <w:rPr>
                <w:b/>
                <w:sz w:val="28"/>
                <w:szCs w:val="28"/>
              </w:rPr>
              <w:t xml:space="preserve"> нарушение требований</w:t>
            </w:r>
            <w:r>
              <w:rPr>
                <w:sz w:val="28"/>
                <w:szCs w:val="28"/>
              </w:rPr>
              <w:t xml:space="preserve"> абзаца 7 пункта 28  </w:t>
            </w:r>
            <w:r w:rsidRPr="000A2AC9">
              <w:rPr>
                <w:rStyle w:val="FontStyle40"/>
                <w:sz w:val="28"/>
                <w:szCs w:val="28"/>
              </w:rPr>
              <w:t xml:space="preserve">Инструкции </w:t>
            </w:r>
            <w:r w:rsidRPr="000A2AC9">
              <w:rPr>
                <w:rStyle w:val="FontStyle40"/>
                <w:sz w:val="28"/>
                <w:szCs w:val="28"/>
                <w:lang w:val="en-US"/>
              </w:rPr>
              <w:t>N</w:t>
            </w:r>
            <w:r w:rsidRPr="000A2AC9">
              <w:rPr>
                <w:rStyle w:val="FontStyle40"/>
                <w:sz w:val="28"/>
                <w:szCs w:val="28"/>
              </w:rPr>
              <w:t xml:space="preserve"> 157</w:t>
            </w:r>
            <w:r w:rsidRPr="00E43005">
              <w:rPr>
                <w:rStyle w:val="FontStyle40"/>
                <w:b/>
                <w:sz w:val="28"/>
                <w:szCs w:val="28"/>
              </w:rPr>
              <w:t>н</w:t>
            </w:r>
            <w:r>
              <w:rPr>
                <w:rStyle w:val="FontStyle40"/>
                <w:sz w:val="28"/>
                <w:szCs w:val="28"/>
              </w:rPr>
              <w:t xml:space="preserve"> от 01.12.2010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 xml:space="preserve">в бухгалтерском учете и в бухгалтерской отчетности за 2020 год </w:t>
            </w:r>
            <w:r w:rsidRPr="000A2AC9">
              <w:rPr>
                <w:rStyle w:val="FontStyle40"/>
                <w:sz w:val="28"/>
                <w:szCs w:val="28"/>
              </w:rPr>
              <w:t>не отражено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213D71">
              <w:rPr>
                <w:sz w:val="28"/>
                <w:szCs w:val="28"/>
              </w:rPr>
              <w:t>изменение стоимости земельных участков, учитываемых в составе нефинансовых активов, в связи с изменением их кадастровой стоимости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3411F5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О</w:t>
            </w:r>
            <w:r w:rsidRPr="000A2AC9">
              <w:rPr>
                <w:rStyle w:val="FontStyle40"/>
                <w:sz w:val="28"/>
                <w:szCs w:val="28"/>
              </w:rPr>
              <w:t>тра</w:t>
            </w:r>
            <w:r>
              <w:rPr>
                <w:rStyle w:val="FontStyle40"/>
                <w:sz w:val="28"/>
                <w:szCs w:val="28"/>
              </w:rPr>
              <w:t xml:space="preserve">зить </w:t>
            </w:r>
            <w:r w:rsidRPr="00213D71">
              <w:rPr>
                <w:sz w:val="28"/>
                <w:szCs w:val="28"/>
              </w:rPr>
              <w:t>изменение стоимости земельных участков, учитываемых в составе нефинансовых активов, в связи с изменением их кадастровой стоимости</w:t>
            </w:r>
            <w:r>
              <w:rPr>
                <w:sz w:val="20"/>
                <w:szCs w:val="20"/>
              </w:rPr>
              <w:t xml:space="preserve"> </w:t>
            </w:r>
            <w:r w:rsidRPr="000A2AC9">
              <w:rPr>
                <w:sz w:val="28"/>
                <w:szCs w:val="28"/>
              </w:rPr>
              <w:t>в бухгалтерском учете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411F5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1F5"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E767FB" w:rsidRDefault="003411F5" w:rsidP="00E767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5">
              <w:rPr>
                <w:rFonts w:ascii="Times New Roman" w:hAnsi="Times New Roman" w:cs="Times New Roman"/>
                <w:b/>
                <w:sz w:val="28"/>
                <w:szCs w:val="28"/>
              </w:rPr>
              <w:t>В нарушение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абзаца 2 пункта 7  </w:t>
            </w:r>
            <w:r w:rsidRPr="000A2AC9">
              <w:rPr>
                <w:rStyle w:val="FontStyle40"/>
                <w:sz w:val="28"/>
                <w:szCs w:val="28"/>
              </w:rPr>
              <w:t xml:space="preserve">Инструкции </w:t>
            </w:r>
            <w:r w:rsidRPr="000A2AC9">
              <w:rPr>
                <w:rStyle w:val="FontStyle40"/>
                <w:sz w:val="28"/>
                <w:szCs w:val="28"/>
                <w:lang w:val="en-US"/>
              </w:rPr>
              <w:t>N</w:t>
            </w:r>
            <w:r w:rsidRPr="000A2AC9"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>162</w:t>
            </w:r>
            <w:r w:rsidRPr="000A2AC9">
              <w:rPr>
                <w:rStyle w:val="FontStyle40"/>
                <w:sz w:val="28"/>
                <w:szCs w:val="28"/>
              </w:rPr>
              <w:t>н</w:t>
            </w:r>
            <w:r>
              <w:rPr>
                <w:rStyle w:val="FontStyle40"/>
                <w:sz w:val="28"/>
                <w:szCs w:val="28"/>
              </w:rPr>
              <w:t xml:space="preserve"> от 06.12.2010 </w:t>
            </w:r>
            <w:r>
              <w:rPr>
                <w:rStyle w:val="FontStyle40"/>
                <w:b/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 xml:space="preserve"> в бухгалтерском учете и в бухгалтерской отчетности за 2020 год </w:t>
            </w:r>
            <w:r w:rsidRPr="000A2AC9">
              <w:rPr>
                <w:rStyle w:val="FontStyle40"/>
                <w:sz w:val="28"/>
                <w:szCs w:val="28"/>
              </w:rPr>
              <w:t xml:space="preserve">не отражено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гидротехнического сооружения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Литея</w:t>
            </w:r>
            <w:proofErr w:type="spellEnd"/>
            <w:r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E767FB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Отразить поступление гидротехнического сооружения в бухгалтерском учете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411F5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1F5"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542E76">
              <w:rPr>
                <w:b/>
                <w:sz w:val="28"/>
                <w:szCs w:val="28"/>
              </w:rPr>
              <w:t>В нарушение требований</w:t>
            </w:r>
            <w:r w:rsidR="00E767FB">
              <w:rPr>
                <w:sz w:val="28"/>
                <w:szCs w:val="28"/>
              </w:rPr>
              <w:t xml:space="preserve"> Пункта 373 Инструкции </w:t>
            </w:r>
            <w:r w:rsidR="00E767FB">
              <w:rPr>
                <w:sz w:val="28"/>
                <w:szCs w:val="28"/>
                <w:lang w:val="en-US"/>
              </w:rPr>
              <w:t>N</w:t>
            </w:r>
            <w:r w:rsidR="00E767FB" w:rsidRPr="00955BF0">
              <w:rPr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>157н от 01.12.2010</w:t>
            </w:r>
            <w:r w:rsidR="00E767FB">
              <w:rPr>
                <w:rStyle w:val="FontStyle40"/>
                <w:sz w:val="28"/>
                <w:szCs w:val="28"/>
              </w:rPr>
              <w:t xml:space="preserve"> </w:t>
            </w:r>
            <w:r w:rsidR="00E767FB">
              <w:rPr>
                <w:rStyle w:val="FontStyle40"/>
                <w:b/>
                <w:sz w:val="28"/>
                <w:szCs w:val="28"/>
              </w:rPr>
              <w:t xml:space="preserve"> </w:t>
            </w:r>
            <w:r w:rsidR="00E767FB">
              <w:rPr>
                <w:rStyle w:val="FontStyle40"/>
                <w:sz w:val="28"/>
                <w:szCs w:val="28"/>
              </w:rPr>
              <w:t xml:space="preserve">  в бухгалтерском учете и в бухгалтерской отчетности за 2020 год  </w:t>
            </w:r>
            <w:r w:rsidR="00E767FB" w:rsidRPr="00166517">
              <w:rPr>
                <w:sz w:val="28"/>
                <w:szCs w:val="28"/>
              </w:rPr>
              <w:t xml:space="preserve">основные средства </w:t>
            </w:r>
            <w:r w:rsidR="00E767FB">
              <w:rPr>
                <w:sz w:val="28"/>
                <w:szCs w:val="28"/>
              </w:rPr>
              <w:t xml:space="preserve">стоимостью до 10 000 руб. </w:t>
            </w:r>
            <w:r w:rsidR="00E767FB" w:rsidRPr="00955BF0">
              <w:rPr>
                <w:sz w:val="28"/>
                <w:szCs w:val="28"/>
              </w:rPr>
              <w:t xml:space="preserve">не учтены на </w:t>
            </w:r>
            <w:proofErr w:type="spellStart"/>
            <w:r w:rsidR="00E767FB" w:rsidRPr="00955BF0">
              <w:rPr>
                <w:sz w:val="28"/>
                <w:szCs w:val="28"/>
              </w:rPr>
              <w:t>забалансовом</w:t>
            </w:r>
            <w:proofErr w:type="spellEnd"/>
            <w:r w:rsidR="00E767FB" w:rsidRPr="00955BF0">
              <w:rPr>
                <w:sz w:val="28"/>
                <w:szCs w:val="28"/>
              </w:rPr>
              <w:t xml:space="preserve"> счете 21</w:t>
            </w:r>
            <w:r w:rsidR="00E767FB" w:rsidRPr="00166517">
              <w:rPr>
                <w:sz w:val="28"/>
                <w:szCs w:val="28"/>
              </w:rPr>
              <w:t xml:space="preserve"> «Основные средства в эксплуатации»</w:t>
            </w:r>
            <w:r w:rsidR="00E767FB">
              <w:rPr>
                <w:sz w:val="28"/>
                <w:szCs w:val="28"/>
              </w:rPr>
              <w:t xml:space="preserve"> </w:t>
            </w:r>
            <w:r w:rsidR="00E767FB">
              <w:rPr>
                <w:b/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E767FB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Отразить  в бухгалтерском учете на </w:t>
            </w:r>
            <w:proofErr w:type="spellStart"/>
            <w:r>
              <w:rPr>
                <w:sz w:val="28"/>
                <w:szCs w:val="28"/>
              </w:rPr>
              <w:t>забалансовом</w:t>
            </w:r>
            <w:proofErr w:type="spellEnd"/>
            <w:r>
              <w:rPr>
                <w:sz w:val="28"/>
                <w:szCs w:val="28"/>
              </w:rPr>
              <w:t xml:space="preserve"> счете </w:t>
            </w:r>
            <w:r w:rsidRPr="00955BF0">
              <w:rPr>
                <w:sz w:val="28"/>
                <w:szCs w:val="28"/>
              </w:rPr>
              <w:t>21</w:t>
            </w:r>
            <w:r w:rsidRPr="00166517">
              <w:rPr>
                <w:sz w:val="28"/>
                <w:szCs w:val="28"/>
              </w:rPr>
              <w:t xml:space="preserve"> «Основные средства в эксплуатации»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5BF0">
              <w:rPr>
                <w:sz w:val="28"/>
                <w:szCs w:val="28"/>
              </w:rPr>
              <w:t>основные средства стоимостью до 10 000 руб.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1F5">
              <w:rPr>
                <w:sz w:val="28"/>
                <w:szCs w:val="28"/>
              </w:rPr>
              <w:t>4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542E76">
              <w:rPr>
                <w:b/>
                <w:sz w:val="28"/>
                <w:szCs w:val="28"/>
              </w:rPr>
              <w:t>В нарушение требований</w:t>
            </w:r>
            <w:r w:rsidR="00E767FB">
              <w:rPr>
                <w:sz w:val="28"/>
                <w:szCs w:val="28"/>
              </w:rPr>
              <w:t xml:space="preserve"> статьи 13 </w:t>
            </w:r>
            <w:r w:rsidR="00E767FB">
              <w:rPr>
                <w:sz w:val="28"/>
                <w:szCs w:val="28"/>
                <w:lang w:val="en-US"/>
              </w:rPr>
              <w:t>N</w:t>
            </w:r>
            <w:r w:rsidR="00E767FB" w:rsidRPr="00955BF0">
              <w:rPr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>402-ФЗ от 06.12.2011</w:t>
            </w:r>
            <w:r w:rsidR="00E767FB">
              <w:rPr>
                <w:rStyle w:val="FontStyle40"/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 xml:space="preserve"> с</w:t>
            </w:r>
            <w:r w:rsidR="00E767FB" w:rsidRPr="00955BF0">
              <w:rPr>
                <w:sz w:val="28"/>
                <w:szCs w:val="28"/>
              </w:rPr>
              <w:t xml:space="preserve">веркой остатка МЗ  на 01.01.2021  Баланса ф. 0503130 </w:t>
            </w:r>
            <w:r w:rsidR="00E767FB">
              <w:rPr>
                <w:sz w:val="28"/>
                <w:szCs w:val="28"/>
              </w:rPr>
              <w:t>(</w:t>
            </w:r>
            <w:r w:rsidR="00E767FB" w:rsidRPr="00770E75">
              <w:rPr>
                <w:b/>
                <w:sz w:val="28"/>
                <w:szCs w:val="28"/>
              </w:rPr>
              <w:t>28 367,77 руб</w:t>
            </w:r>
            <w:r w:rsidR="00E767FB">
              <w:rPr>
                <w:sz w:val="28"/>
                <w:szCs w:val="28"/>
              </w:rPr>
              <w:t xml:space="preserve">.) </w:t>
            </w:r>
            <w:r w:rsidR="00E767FB" w:rsidRPr="00955BF0">
              <w:rPr>
                <w:sz w:val="28"/>
                <w:szCs w:val="28"/>
              </w:rPr>
              <w:t>с Главной книгой</w:t>
            </w:r>
            <w:r w:rsidR="00E767FB">
              <w:rPr>
                <w:sz w:val="28"/>
                <w:szCs w:val="28"/>
              </w:rPr>
              <w:t>,</w:t>
            </w:r>
            <w:r w:rsidR="00E767FB" w:rsidRPr="00955BF0">
              <w:rPr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 xml:space="preserve"> </w:t>
            </w:r>
            <w:r w:rsidR="00E767FB" w:rsidRPr="00955BF0">
              <w:rPr>
                <w:sz w:val="28"/>
                <w:szCs w:val="28"/>
              </w:rPr>
              <w:t>оборотными ведомостями</w:t>
            </w:r>
            <w:r w:rsidR="00E767FB">
              <w:rPr>
                <w:sz w:val="28"/>
                <w:szCs w:val="28"/>
              </w:rPr>
              <w:t xml:space="preserve"> и первичными документами</w:t>
            </w:r>
            <w:r w:rsidR="00E767FB" w:rsidRPr="00955BF0">
              <w:rPr>
                <w:sz w:val="28"/>
                <w:szCs w:val="28"/>
              </w:rPr>
              <w:t xml:space="preserve"> установлены</w:t>
            </w:r>
            <w:r w:rsidR="00E767FB" w:rsidRPr="00955BF0">
              <w:rPr>
                <w:b/>
                <w:sz w:val="28"/>
                <w:szCs w:val="28"/>
              </w:rPr>
              <w:t xml:space="preserve"> </w:t>
            </w:r>
            <w:r w:rsidR="00E767FB" w:rsidRPr="00955BF0">
              <w:rPr>
                <w:sz w:val="28"/>
                <w:szCs w:val="28"/>
              </w:rPr>
              <w:t>расхождения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E767FB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Отразить в  учете фактический остаток МЗ в сумме </w:t>
            </w:r>
            <w:r w:rsidRPr="00286D85">
              <w:rPr>
                <w:b/>
                <w:sz w:val="28"/>
                <w:szCs w:val="28"/>
              </w:rPr>
              <w:t>20 209,68 руб</w:t>
            </w:r>
            <w:r>
              <w:rPr>
                <w:sz w:val="28"/>
                <w:szCs w:val="28"/>
              </w:rPr>
              <w:t xml:space="preserve">., в т.ч.  ГСМ (бензин) </w:t>
            </w:r>
            <w:r w:rsidRPr="00770E75">
              <w:rPr>
                <w:b/>
                <w:sz w:val="28"/>
                <w:szCs w:val="28"/>
              </w:rPr>
              <w:t>1 522,83</w:t>
            </w:r>
            <w:r>
              <w:rPr>
                <w:sz w:val="28"/>
                <w:szCs w:val="28"/>
              </w:rPr>
              <w:t xml:space="preserve"> руб. + дрова 14 281,05 руб., стройматериалы – 3 655,80 руб., прочие МЗ 750 руб.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  <w:tr w:rsidR="003411F5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1F5">
              <w:rPr>
                <w:sz w:val="28"/>
                <w:szCs w:val="28"/>
              </w:rPr>
              <w:t>5</w:t>
            </w:r>
          </w:p>
          <w:p w:rsidR="003411F5" w:rsidRDefault="003411F5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542E76">
              <w:rPr>
                <w:b/>
                <w:sz w:val="28"/>
                <w:szCs w:val="28"/>
              </w:rPr>
              <w:t>В нарушение требований</w:t>
            </w:r>
            <w:r w:rsidR="00E767FB">
              <w:rPr>
                <w:sz w:val="28"/>
                <w:szCs w:val="28"/>
              </w:rPr>
              <w:t xml:space="preserve"> Статья 13 </w:t>
            </w:r>
            <w:r w:rsidR="00E767FB">
              <w:rPr>
                <w:sz w:val="28"/>
                <w:szCs w:val="28"/>
                <w:lang w:val="en-US"/>
              </w:rPr>
              <w:t>N</w:t>
            </w:r>
            <w:r w:rsidR="00E767FB" w:rsidRPr="00955BF0">
              <w:rPr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>402-ФЗ от 06.12.2011</w:t>
            </w:r>
            <w:r w:rsidR="00E767FB">
              <w:rPr>
                <w:rStyle w:val="FontStyle40"/>
                <w:sz w:val="28"/>
                <w:szCs w:val="28"/>
              </w:rPr>
              <w:t xml:space="preserve"> </w:t>
            </w:r>
            <w:r w:rsidR="00E767FB">
              <w:rPr>
                <w:sz w:val="28"/>
                <w:szCs w:val="28"/>
              </w:rPr>
              <w:t xml:space="preserve"> сверкой</w:t>
            </w:r>
            <w:r w:rsidR="00E767FB" w:rsidRPr="00B3125A">
              <w:rPr>
                <w:sz w:val="28"/>
                <w:szCs w:val="28"/>
              </w:rPr>
              <w:t xml:space="preserve"> остатка </w:t>
            </w:r>
            <w:proofErr w:type="spellStart"/>
            <w:r w:rsidR="00E767FB" w:rsidRPr="00B3125A">
              <w:rPr>
                <w:sz w:val="28"/>
                <w:szCs w:val="28"/>
              </w:rPr>
              <w:t>сч</w:t>
            </w:r>
            <w:proofErr w:type="spellEnd"/>
            <w:r w:rsidR="00E767FB" w:rsidRPr="00B3125A">
              <w:rPr>
                <w:sz w:val="28"/>
                <w:szCs w:val="28"/>
              </w:rPr>
              <w:t>. 09</w:t>
            </w:r>
            <w:r w:rsidR="00E767FB" w:rsidRPr="00A35D5E">
              <w:rPr>
                <w:b/>
                <w:sz w:val="28"/>
                <w:szCs w:val="28"/>
              </w:rPr>
              <w:t xml:space="preserve"> </w:t>
            </w:r>
            <w:r w:rsidR="00E767FB" w:rsidRPr="00A35D5E">
              <w:rPr>
                <w:sz w:val="28"/>
                <w:szCs w:val="28"/>
              </w:rPr>
              <w:t>«Запасные части к автотранспортным средствам, выданным взамен изношенны</w:t>
            </w:r>
            <w:r w:rsidR="00E767FB">
              <w:rPr>
                <w:sz w:val="28"/>
                <w:szCs w:val="28"/>
              </w:rPr>
              <w:t>м</w:t>
            </w:r>
            <w:r w:rsidR="00E767FB" w:rsidRPr="00A35D5E">
              <w:rPr>
                <w:sz w:val="28"/>
                <w:szCs w:val="28"/>
              </w:rPr>
              <w:t xml:space="preserve">»  на 01.01.2021  Баланса ф. 0503130 с Главной книгой </w:t>
            </w:r>
            <w:r w:rsidR="00E767FB" w:rsidRPr="00B3125A">
              <w:rPr>
                <w:sz w:val="28"/>
                <w:szCs w:val="28"/>
              </w:rPr>
              <w:t>установлены</w:t>
            </w:r>
            <w:r w:rsidR="00E767FB" w:rsidRPr="00A35D5E">
              <w:rPr>
                <w:b/>
                <w:sz w:val="28"/>
                <w:szCs w:val="28"/>
              </w:rPr>
              <w:t xml:space="preserve"> </w:t>
            </w:r>
            <w:r w:rsidR="00E767FB" w:rsidRPr="00A35D5E">
              <w:rPr>
                <w:sz w:val="28"/>
                <w:szCs w:val="28"/>
              </w:rPr>
              <w:t xml:space="preserve">расхождения </w:t>
            </w:r>
            <w:r w:rsidR="00E767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Pr="005E4AD7" w:rsidRDefault="00E767FB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Отразить в  учете фактическое наличие  з</w:t>
            </w:r>
            <w:r w:rsidRPr="00A35D5E">
              <w:rPr>
                <w:sz w:val="28"/>
                <w:szCs w:val="28"/>
              </w:rPr>
              <w:t>апасны</w:t>
            </w:r>
            <w:r>
              <w:rPr>
                <w:sz w:val="28"/>
                <w:szCs w:val="28"/>
              </w:rPr>
              <w:t>х</w:t>
            </w:r>
            <w:r w:rsidRPr="00A35D5E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ей</w:t>
            </w:r>
            <w:r w:rsidRPr="00A35D5E">
              <w:rPr>
                <w:sz w:val="28"/>
                <w:szCs w:val="28"/>
              </w:rPr>
              <w:t xml:space="preserve"> к автотранспортным средствам, выданным взамен изношенны</w:t>
            </w:r>
            <w:r>
              <w:rPr>
                <w:sz w:val="28"/>
                <w:szCs w:val="28"/>
              </w:rPr>
              <w:t xml:space="preserve">м на </w:t>
            </w:r>
            <w:proofErr w:type="spellStart"/>
            <w:r>
              <w:rPr>
                <w:sz w:val="28"/>
                <w:szCs w:val="28"/>
              </w:rPr>
              <w:t>забалансовом</w:t>
            </w:r>
            <w:proofErr w:type="spellEnd"/>
            <w:r>
              <w:rPr>
                <w:sz w:val="28"/>
                <w:szCs w:val="28"/>
              </w:rPr>
              <w:t xml:space="preserve"> счете 09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1F5" w:rsidRDefault="003411F5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  <w:tr w:rsidR="00E767FB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7FB">
              <w:rPr>
                <w:sz w:val="28"/>
                <w:szCs w:val="28"/>
              </w:rPr>
              <w:t>6</w:t>
            </w:r>
          </w:p>
          <w:p w:rsidR="00E767FB" w:rsidRDefault="00E767FB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Pr="00B3125A" w:rsidRDefault="00E767FB" w:rsidP="00E767FB">
            <w:pPr>
              <w:rPr>
                <w:bCs/>
                <w:sz w:val="28"/>
                <w:szCs w:val="28"/>
              </w:rPr>
            </w:pPr>
            <w:r w:rsidRPr="00542E76">
              <w:rPr>
                <w:b/>
                <w:sz w:val="28"/>
                <w:szCs w:val="28"/>
              </w:rPr>
              <w:t>В нарушение требований</w:t>
            </w:r>
            <w:r>
              <w:rPr>
                <w:sz w:val="28"/>
                <w:szCs w:val="28"/>
              </w:rPr>
              <w:t xml:space="preserve"> пункта 118 Инструкции </w:t>
            </w:r>
            <w:r>
              <w:rPr>
                <w:sz w:val="28"/>
                <w:szCs w:val="28"/>
                <w:lang w:val="en-US"/>
              </w:rPr>
              <w:t>N</w:t>
            </w:r>
            <w:r w:rsidRPr="00B31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157н от 01.12.2010, статья 9 </w:t>
            </w:r>
            <w:r>
              <w:rPr>
                <w:sz w:val="28"/>
                <w:szCs w:val="28"/>
                <w:lang w:val="en-US"/>
              </w:rPr>
              <w:t>N</w:t>
            </w:r>
            <w:r w:rsidRPr="0077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402-ФЗ от 06.12.2011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</w:t>
            </w:r>
            <w:r w:rsidRPr="00B3125A">
              <w:rPr>
                <w:sz w:val="28"/>
                <w:szCs w:val="28"/>
              </w:rPr>
              <w:t>е приняты к учету строительные материалы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A78FD">
              <w:rPr>
                <w:sz w:val="28"/>
                <w:szCs w:val="28"/>
              </w:rPr>
              <w:lastRenderedPageBreak/>
              <w:t>приобретенные за счет средств Дорожного фонда</w:t>
            </w:r>
            <w:r>
              <w:rPr>
                <w:sz w:val="28"/>
                <w:szCs w:val="28"/>
              </w:rPr>
              <w:t xml:space="preserve">. </w:t>
            </w:r>
            <w:r w:rsidRPr="00B3125A">
              <w:rPr>
                <w:bCs/>
                <w:sz w:val="28"/>
                <w:szCs w:val="28"/>
              </w:rPr>
              <w:t>Документ, обосновывающий необходимость проведения дорожных ремонтных работ</w:t>
            </w:r>
            <w:r w:rsidRPr="00E83CDA">
              <w:rPr>
                <w:b/>
                <w:bCs/>
                <w:sz w:val="28"/>
                <w:szCs w:val="28"/>
              </w:rPr>
              <w:t xml:space="preserve"> – </w:t>
            </w:r>
            <w:r w:rsidRPr="00B3125A">
              <w:rPr>
                <w:bCs/>
                <w:sz w:val="28"/>
                <w:szCs w:val="28"/>
              </w:rPr>
              <w:t>дефектная ведомость – не составл</w:t>
            </w:r>
            <w:r>
              <w:rPr>
                <w:bCs/>
                <w:sz w:val="28"/>
                <w:szCs w:val="28"/>
              </w:rPr>
              <w:t>яется</w:t>
            </w:r>
            <w:r w:rsidRPr="00B3125A">
              <w:rPr>
                <w:bCs/>
                <w:sz w:val="28"/>
                <w:szCs w:val="28"/>
              </w:rPr>
              <w:t>.</w:t>
            </w:r>
          </w:p>
          <w:p w:rsidR="00E767FB" w:rsidRDefault="00E767FB" w:rsidP="00E767FB">
            <w:r w:rsidRPr="00B3125A">
              <w:rPr>
                <w:bCs/>
                <w:sz w:val="28"/>
                <w:szCs w:val="28"/>
              </w:rPr>
              <w:t>Смета на проведение дорожных ремонтных работ отсутствует.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125A">
              <w:rPr>
                <w:bCs/>
                <w:sz w:val="28"/>
                <w:szCs w:val="28"/>
              </w:rPr>
              <w:t>Акт на списание стро</w:t>
            </w:r>
            <w:r>
              <w:rPr>
                <w:bCs/>
                <w:sz w:val="28"/>
                <w:szCs w:val="28"/>
              </w:rPr>
              <w:t>ительных материалов отсутствует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5D5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Pr="00992913" w:rsidRDefault="00E767FB" w:rsidP="00F95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Отразить в  учете поступление строительных материалов. Представить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оправдательные документы на проведение ремонтных дорожных работ на вышеуказанную сумму (сметы, акты выполненных работ, фотографии и т.д.)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E767FB">
            <w:r w:rsidRPr="00D66BB2">
              <w:rPr>
                <w:b/>
                <w:sz w:val="28"/>
                <w:szCs w:val="28"/>
              </w:rPr>
              <w:lastRenderedPageBreak/>
              <w:t>До 11.06.2021</w:t>
            </w:r>
          </w:p>
        </w:tc>
      </w:tr>
      <w:tr w:rsidR="00E767FB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E767FB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767FB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7FB">
              <w:rPr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938" w:rsidRDefault="005C7938" w:rsidP="005C79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Счётная ошибка при исчислении средней заработной платы, неверное применение </w:t>
            </w:r>
            <w:r w:rsidRPr="00845053">
              <w:rPr>
                <w:rFonts w:eastAsiaTheme="minorHAnsi"/>
                <w:sz w:val="28"/>
                <w:szCs w:val="28"/>
                <w:lang w:eastAsia="en-US"/>
              </w:rPr>
              <w:t>среднемесячного числа календарных дней</w:t>
            </w:r>
          </w:p>
          <w:p w:rsidR="00E767FB" w:rsidRDefault="005C7938" w:rsidP="005C7938">
            <w:r>
              <w:rPr>
                <w:sz w:val="28"/>
                <w:szCs w:val="28"/>
              </w:rPr>
              <w:t>при расчете календарных дней отпуска, оплата за день, не являющийся праздничным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Pr="005E4AD7" w:rsidRDefault="005C7938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Удержать из заработной платы лиц, указанных в акте, излишне начисленные отпускные </w:t>
            </w:r>
            <w:r w:rsidRPr="001E0CBA">
              <w:rPr>
                <w:b/>
                <w:bCs/>
                <w:sz w:val="28"/>
                <w:szCs w:val="28"/>
              </w:rPr>
              <w:t>(с их согласия)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5C7938">
            <w:r>
              <w:rPr>
                <w:b/>
                <w:sz w:val="28"/>
                <w:szCs w:val="28"/>
              </w:rPr>
              <w:t>Постоянно</w:t>
            </w:r>
          </w:p>
        </w:tc>
      </w:tr>
      <w:tr w:rsidR="00E767FB" w:rsidRPr="005E4AD7" w:rsidTr="00BA390C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673C13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67FB">
              <w:rPr>
                <w:sz w:val="28"/>
                <w:szCs w:val="28"/>
              </w:rPr>
              <w:t>8</w:t>
            </w:r>
          </w:p>
          <w:p w:rsidR="00E767FB" w:rsidRDefault="00E767FB" w:rsidP="00AE0D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5C7938">
            <w:r>
              <w:rPr>
                <w:sz w:val="28"/>
                <w:szCs w:val="28"/>
              </w:rPr>
              <w:t>Счётная ошибка при исчислении выплат, п</w:t>
            </w:r>
            <w:r w:rsidRPr="00FB29BC">
              <w:rPr>
                <w:sz w:val="28"/>
                <w:szCs w:val="28"/>
              </w:rPr>
              <w:t>роверкой правильности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29BC">
              <w:rPr>
                <w:sz w:val="28"/>
                <w:szCs w:val="28"/>
              </w:rPr>
              <w:t xml:space="preserve">начисления </w:t>
            </w:r>
            <w:r>
              <w:rPr>
                <w:sz w:val="28"/>
                <w:szCs w:val="28"/>
              </w:rPr>
              <w:t>компенсационной выплаты за работу в ночное время, нерабочий праздничный день установлена недоплата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Pr="005E4AD7" w:rsidRDefault="005C7938" w:rsidP="00AE0D1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Выплатить установленным порядком не начисленную заработную плату лицам, указанным в акте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7FB" w:rsidRDefault="00E767FB">
            <w:r w:rsidRPr="00D66BB2">
              <w:rPr>
                <w:b/>
                <w:sz w:val="28"/>
                <w:szCs w:val="28"/>
              </w:rPr>
              <w:t>До 11.06.2021</w:t>
            </w:r>
          </w:p>
        </w:tc>
      </w:tr>
    </w:tbl>
    <w:p w:rsidR="00CD38A5" w:rsidRPr="005E4AD7" w:rsidRDefault="00CD38A5" w:rsidP="00CD38A5">
      <w:pPr>
        <w:rPr>
          <w:sz w:val="28"/>
          <w:szCs w:val="28"/>
        </w:rPr>
      </w:pPr>
      <w:r w:rsidRPr="005E4AD7">
        <w:rPr>
          <w:sz w:val="28"/>
          <w:szCs w:val="28"/>
        </w:rPr>
        <w:t xml:space="preserve"> </w:t>
      </w:r>
    </w:p>
    <w:p w:rsidR="00CD38A5" w:rsidRPr="003411F5" w:rsidRDefault="00CD38A5" w:rsidP="00CD38A5">
      <w:pPr>
        <w:rPr>
          <w:sz w:val="28"/>
          <w:szCs w:val="28"/>
        </w:rPr>
      </w:pPr>
      <w:r w:rsidRPr="005E4AD7">
        <w:rPr>
          <w:sz w:val="28"/>
          <w:szCs w:val="28"/>
        </w:rPr>
        <w:t xml:space="preserve"> </w:t>
      </w:r>
    </w:p>
    <w:p w:rsidR="00CD38A5" w:rsidRPr="005E4AD7" w:rsidRDefault="00CD38A5" w:rsidP="00CD38A5">
      <w:pPr>
        <w:jc w:val="both"/>
        <w:rPr>
          <w:sz w:val="28"/>
          <w:szCs w:val="28"/>
        </w:rPr>
      </w:pPr>
    </w:p>
    <w:p w:rsidR="00824677" w:rsidRDefault="00824677"/>
    <w:sectPr w:rsidR="00824677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D53"/>
    <w:multiLevelType w:val="hybridMultilevel"/>
    <w:tmpl w:val="40707328"/>
    <w:lvl w:ilvl="0" w:tplc="37BCA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38A5"/>
    <w:rsid w:val="001A7E05"/>
    <w:rsid w:val="003411F5"/>
    <w:rsid w:val="00415279"/>
    <w:rsid w:val="004419B8"/>
    <w:rsid w:val="005B0C39"/>
    <w:rsid w:val="005C7938"/>
    <w:rsid w:val="00673C13"/>
    <w:rsid w:val="007664EA"/>
    <w:rsid w:val="008228D0"/>
    <w:rsid w:val="00824677"/>
    <w:rsid w:val="00BA390C"/>
    <w:rsid w:val="00CD38A5"/>
    <w:rsid w:val="00E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5B0C39"/>
    <w:rPr>
      <w:rFonts w:ascii="Times New Roman" w:hAnsi="Times New Roman" w:cs="Times New Roman"/>
      <w:i/>
      <w:i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BA39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0">
    <w:name w:val="Font Style40"/>
    <w:basedOn w:val="a0"/>
    <w:rsid w:val="00341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9B5116F95D48475460F450FA915FCB8ED1B8447F86DD81A04265C1313EA8B024892E54E522307099B524B28855EC54BB95E0522D8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9B5116F95D48475460F450FA915FCB8ED188C43FC6DD81A04265C1313EA8B024892E34C5A20535CD453176ED34DC74CB95C013E8B38B0D7i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2021-07-14T08:54:00Z</dcterms:created>
  <dcterms:modified xsi:type="dcterms:W3CDTF">2021-07-15T06:40:00Z</dcterms:modified>
</cp:coreProperties>
</file>